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da1d306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5102" w:type="dxa"/>
            <w:noWrap/>
          </w:tcPr>
          <w:p>
            <w:pPr>
              <w:pStyle w:val="leftaligned"/>
            </w:pPr>
            <w:r>
              <w:rPr>
                <w:noProof/>
              </w:rPr>
              <w:drawing>
                <wp:inline distT="0" distB="0" distL="0" distR="0">
                  <wp:extent cx="4953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>
            <w:pPr>
              <w:pStyle w:val="rightaligned"/>
            </w:pPr>
            <w:r>
              <w:rPr>
                <w:noProof/>
              </w:rPr>
              <w:drawing>
                <wp:inline distT="0" distB="0" distL="0" distR="0">
                  <wp:extent cx="1619250" cy="428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b/>
          <w:bCs/>
        </w:rPr>
        <w:t>РЕПУБЛИКА СРБИЈА</w:t>
      </w:r>
    </w:p>
    <w:p>
      <w:r>
        <w:rPr>
          <w:b/>
          <w:bCs/>
        </w:rPr>
        <w:t>ЈАВНИ ИЗВРШИТЕЉ НИКОЛИНА ШЕНДЕР</w:t>
      </w:r>
    </w:p>
    <w:p>
      <w:pPr>
        <w:pStyle w:val="header2"/>
      </w:pPr>
      <w:proofErr w:type="spellStart"/>
      <w:r>
        <w:t>Именована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Зрењанину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Зрењанину</w:t>
      </w:r>
      <w:proofErr w:type="spellEnd"/>
    </w:p>
    <w:p>
      <w:proofErr w:type="spellStart"/>
      <w:proofErr w:type="gramStart"/>
      <w:r>
        <w:t>Иве</w:t>
      </w:r>
      <w:proofErr w:type="spellEnd"/>
      <w:r>
        <w:t xml:space="preserve"> </w:t>
      </w:r>
      <w:proofErr w:type="spellStart"/>
      <w:r>
        <w:t>Лоле</w:t>
      </w:r>
      <w:proofErr w:type="spellEnd"/>
      <w:r>
        <w:t xml:space="preserve"> </w:t>
      </w:r>
      <w:proofErr w:type="spellStart"/>
      <w:r>
        <w:t>Рибара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 (Л1) </w:t>
      </w:r>
      <w:proofErr w:type="spellStart"/>
      <w:r>
        <w:t>спрат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стан</w:t>
      </w:r>
      <w:proofErr w:type="spellEnd"/>
      <w:proofErr w:type="gramEnd"/>
      <w:r>
        <w:t xml:space="preserve"> 11</w:t>
      </w:r>
    </w:p>
    <w:p>
      <w:r>
        <w:t xml:space="preserve">23101 </w:t>
      </w:r>
      <w:proofErr w:type="spellStart"/>
      <w:r>
        <w:t>Зрењанин</w:t>
      </w:r>
      <w:proofErr w:type="spellEnd"/>
    </w:p>
    <w:p>
      <w:proofErr w:type="spellStart"/>
      <w:r>
        <w:rPr>
          <w:b/>
          <w:bCs/>
        </w:rPr>
        <w:t>Посл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ИИВ 78/25</w:t>
      </w:r>
    </w:p>
    <w:p>
      <w:pPr>
        <w:rPr>
          <w:lang w:val="sr-Cyrl-RS"/>
        </w:rPr>
      </w:pPr>
      <w:proofErr w:type="spellStart"/>
      <w:r>
        <w:t>Дана</w:t>
      </w:r>
      <w:proofErr w:type="spellEnd"/>
      <w:r>
        <w:t>: 13.01.2026.</w:t>
      </w:r>
      <w:r>
        <w:rPr>
          <w:lang w:val="sr-Cyrl-RS"/>
        </w:rPr>
        <w:t xml:space="preserve"> године</w:t>
      </w:r>
    </w:p>
    <w:p/>
    <w:p>
      <w:pPr>
        <w:pStyle w:val="indented"/>
      </w:pPr>
      <w:proofErr w:type="gramStart"/>
      <w:r>
        <w:rPr>
          <w:b/>
          <w:bCs/>
        </w:rPr>
        <w:t xml:space="preserve">ЈАВНИ ИЗВРШИТЕЉ </w:t>
      </w:r>
      <w:proofErr w:type="spellStart"/>
      <w:r>
        <w:rPr>
          <w:b/>
          <w:bCs/>
        </w:rPr>
        <w:t>Николина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Шендер</w:t>
      </w:r>
      <w:proofErr w:type="spellEnd"/>
      <w:r>
        <w:t xml:space="preserve">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>
        <w:rPr>
          <w:b/>
          <w:bCs/>
        </w:rPr>
        <w:t>БАНКА ПОШТАНСКА ШТЕДИОНИЦА А.Д.</w:t>
      </w:r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Краљице</w:t>
      </w:r>
      <w:proofErr w:type="spellEnd"/>
      <w:r>
        <w:t xml:space="preserve"> </w:t>
      </w:r>
      <w:proofErr w:type="spellStart"/>
      <w:r>
        <w:t>Марије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3, КЈС 89856, МБ 07004893, ПИБ 100002549,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Милош</w:t>
      </w:r>
      <w:proofErr w:type="spellEnd"/>
      <w:r>
        <w:t xml:space="preserve"> М.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Ниш</w:t>
      </w:r>
      <w:proofErr w:type="spellEnd"/>
      <w:r>
        <w:t xml:space="preserve">, </w:t>
      </w:r>
      <w:proofErr w:type="spellStart"/>
      <w:r>
        <w:t>Синђелићев</w:t>
      </w:r>
      <w:proofErr w:type="spellEnd"/>
      <w:r>
        <w:t xml:space="preserve"> </w:t>
      </w:r>
      <w:proofErr w:type="spellStart"/>
      <w:r>
        <w:t>трг</w:t>
      </w:r>
      <w:proofErr w:type="spellEnd"/>
      <w:r>
        <w:t xml:space="preserve"> бр.1,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rPr>
          <w:b/>
          <w:bCs/>
        </w:rPr>
        <w:t>Мирослав</w:t>
      </w:r>
      <w:proofErr w:type="spellEnd"/>
      <w:r>
        <w:rPr>
          <w:b/>
          <w:bCs/>
        </w:rPr>
        <w:t xml:space="preserve"> Р. </w:t>
      </w:r>
      <w:proofErr w:type="spellStart"/>
      <w:r>
        <w:rPr>
          <w:b/>
          <w:bCs/>
        </w:rPr>
        <w:t>Обрадовић</w:t>
      </w:r>
      <w:proofErr w:type="spellEnd"/>
      <w:r>
        <w:t xml:space="preserve">, </w:t>
      </w:r>
      <w:proofErr w:type="spellStart"/>
      <w:r>
        <w:t>Зрењанин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Цветна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1В, ЈМБГ 1502971850050,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/>
    <w:p>
      <w:pPr>
        <w:pStyle w:val="Heading1"/>
      </w:pPr>
      <w:bookmarkStart w:id="0" w:name="_Toc0"/>
      <w:r>
        <w:t>З А К Љ У Ч А К</w:t>
      </w:r>
      <w:bookmarkEnd w:id="0"/>
    </w:p>
    <w:p>
      <w:pPr>
        <w:pStyle w:val="pStyle"/>
        <w:rPr>
          <w:lang w:val="sr-Cyrl-RS"/>
        </w:rPr>
      </w:pPr>
      <w:r>
        <w:rPr>
          <w:b/>
        </w:rPr>
        <w:t xml:space="preserve">I ОГЛАШАВА СЕ </w:t>
      </w:r>
      <w:r>
        <w:rPr>
          <w:b/>
          <w:lang w:val="sr-Cyrl-RS"/>
        </w:rPr>
        <w:t xml:space="preserve">ПОНОВЉЕНО </w:t>
      </w:r>
      <w:r>
        <w:rPr>
          <w:b/>
          <w:lang w:val="sr-Cyrl-RS"/>
        </w:rPr>
        <w:t>ДРУГО</w:t>
      </w:r>
      <w:r>
        <w:rPr>
          <w:b/>
        </w:rPr>
        <w:t xml:space="preserve"> ЕЛЕКТРОНСКО ЈАВНО НАДМЕТАЊЕ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приватна</w:t>
      </w:r>
      <w:proofErr w:type="spellEnd"/>
      <w:r>
        <w:t xml:space="preserve"> </w:t>
      </w:r>
      <w:r>
        <w:rPr>
          <w:lang w:val="sr-Cyrl-RS"/>
        </w:rPr>
        <w:t xml:space="preserve">својина извршног дужника </w:t>
      </w:r>
      <w:r>
        <w:t xml:space="preserve">и </w:t>
      </w:r>
      <w:proofErr w:type="spellStart"/>
      <w:r>
        <w:t>то</w:t>
      </w:r>
      <w:proofErr w:type="spellEnd"/>
      <w:r>
        <w:t>:</w:t>
      </w:r>
    </w:p>
    <w:p>
      <w:pPr>
        <w:pStyle w:val="pStyle"/>
        <w:rPr>
          <w:lang w:val="sr-Cyrl-RS"/>
        </w:rPr>
      </w:pPr>
    </w:p>
    <w:p>
      <w:pPr>
        <w:pStyle w:val="nabrajanje"/>
        <w:numPr>
          <w:ilvl w:val="0"/>
          <w:numId w:val="11"/>
        </w:numPr>
      </w:pPr>
      <w:proofErr w:type="spellStart"/>
      <w:r>
        <w:rPr>
          <w:b/>
        </w:rPr>
        <w:t>Парцела</w:t>
      </w:r>
      <w:proofErr w:type="spellEnd"/>
      <w:r>
        <w:rPr>
          <w:b/>
          <w:lang w:val="sr-Cyrl-RS"/>
        </w:rPr>
        <w:t xml:space="preserve"> бро 856</w:t>
      </w:r>
      <w:r>
        <w:rPr>
          <w:b/>
        </w:rPr>
        <w:t>,</w:t>
      </w:r>
      <w:r>
        <w:t xml:space="preserve"> </w:t>
      </w:r>
      <w:proofErr w:type="spellStart"/>
      <w:r>
        <w:t>Адреса</w:t>
      </w:r>
      <w:proofErr w:type="spellEnd"/>
      <w:r>
        <w:t xml:space="preserve">: МИЛЕНКА СИМИЋА, </w:t>
      </w:r>
      <w:proofErr w:type="spellStart"/>
      <w:r>
        <w:t>Општина</w:t>
      </w:r>
      <w:proofErr w:type="spellEnd"/>
      <w:r>
        <w:t xml:space="preserve">: </w:t>
      </w:r>
      <w:proofErr w:type="spellStart"/>
      <w:r>
        <w:t>Житиште</w:t>
      </w:r>
      <w:proofErr w:type="spellEnd"/>
      <w:r>
        <w:t xml:space="preserve">, КО: </w:t>
      </w:r>
      <w:proofErr w:type="spellStart"/>
      <w:r>
        <w:t>Равни</w:t>
      </w:r>
      <w:proofErr w:type="spellEnd"/>
      <w:r>
        <w:t xml:space="preserve"> </w:t>
      </w:r>
      <w:proofErr w:type="spellStart"/>
      <w:r>
        <w:t>Тополовац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: 1059,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856,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347,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1,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347, </w:t>
      </w:r>
      <w:proofErr w:type="spellStart"/>
      <w:r>
        <w:t>Култура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</w:t>
      </w:r>
      <w:proofErr w:type="spellStart"/>
      <w:r>
        <w:t>Њива</w:t>
      </w:r>
      <w:proofErr w:type="spellEnd"/>
      <w:r>
        <w:t xml:space="preserve"> 1. </w:t>
      </w:r>
      <w:proofErr w:type="spellStart"/>
      <w:r>
        <w:t>класе</w:t>
      </w:r>
      <w:proofErr w:type="spellEnd"/>
      <w:r>
        <w:t xml:space="preserve">, </w:t>
      </w:r>
      <w:proofErr w:type="spellStart"/>
      <w:r>
        <w:t>Ванкњижна</w:t>
      </w:r>
      <w:proofErr w:type="spellEnd"/>
      <w:r>
        <w:t xml:space="preserve"> </w:t>
      </w:r>
      <w:proofErr w:type="spellStart"/>
      <w:r>
        <w:t>својина</w:t>
      </w:r>
      <w:proofErr w:type="spellEnd"/>
      <w:r>
        <w:t xml:space="preserve">: НЕ,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Својина</w:t>
      </w:r>
      <w:proofErr w:type="spellEnd"/>
      <w:r>
        <w:t xml:space="preserve">,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: </w:t>
      </w:r>
      <w:proofErr w:type="spellStart"/>
      <w:r>
        <w:t>Приватна</w:t>
      </w:r>
      <w:proofErr w:type="spellEnd"/>
      <w:r>
        <w:t xml:space="preserve">,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Цело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Удео</w:t>
      </w:r>
      <w:proofErr w:type="spellEnd"/>
      <w:r>
        <w:t>: 1/1</w:t>
      </w:r>
    </w:p>
    <w:p>
      <w:pPr>
        <w:pStyle w:val="nabrajanje"/>
        <w:ind w:left="720"/>
      </w:pPr>
    </w:p>
    <w:p>
      <w:pPr>
        <w:pStyle w:val="nabrajanje"/>
        <w:numPr>
          <w:ilvl w:val="0"/>
          <w:numId w:val="11"/>
        </w:numPr>
      </w:pPr>
      <w:proofErr w:type="spellStart"/>
      <w:r>
        <w:rPr>
          <w:b/>
        </w:rPr>
        <w:t>Парцела</w:t>
      </w:r>
      <w:proofErr w:type="spellEnd"/>
      <w:r>
        <w:rPr>
          <w:b/>
          <w:lang w:val="sr-Cyrl-RS"/>
        </w:rPr>
        <w:t xml:space="preserve"> број 857</w:t>
      </w:r>
      <w:r>
        <w:t xml:space="preserve">, </w:t>
      </w:r>
      <w:proofErr w:type="spellStart"/>
      <w:r>
        <w:t>Адреса</w:t>
      </w:r>
      <w:proofErr w:type="spellEnd"/>
      <w:r>
        <w:t xml:space="preserve">: МИЛЕНКА СИМИЋА, </w:t>
      </w:r>
      <w:proofErr w:type="spellStart"/>
      <w:r>
        <w:t>Општина</w:t>
      </w:r>
      <w:proofErr w:type="spellEnd"/>
      <w:r>
        <w:t xml:space="preserve">: </w:t>
      </w:r>
      <w:proofErr w:type="spellStart"/>
      <w:r>
        <w:t>Житиште</w:t>
      </w:r>
      <w:proofErr w:type="spellEnd"/>
      <w:r>
        <w:t xml:space="preserve">, КО: </w:t>
      </w:r>
      <w:proofErr w:type="spellStart"/>
      <w:r>
        <w:t>Равни</w:t>
      </w:r>
      <w:proofErr w:type="spellEnd"/>
      <w:r>
        <w:t xml:space="preserve"> </w:t>
      </w:r>
      <w:proofErr w:type="spellStart"/>
      <w:r>
        <w:t>Тополовац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: 1059,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857,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1375,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1,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1375, </w:t>
      </w:r>
      <w:proofErr w:type="spellStart"/>
      <w:r>
        <w:t>Култура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</w:t>
      </w:r>
      <w:proofErr w:type="spellStart"/>
      <w:r>
        <w:t>Њива</w:t>
      </w:r>
      <w:proofErr w:type="spellEnd"/>
      <w:r>
        <w:t xml:space="preserve"> 1. </w:t>
      </w:r>
      <w:proofErr w:type="spellStart"/>
      <w:r>
        <w:t>класе</w:t>
      </w:r>
      <w:proofErr w:type="spellEnd"/>
      <w:r>
        <w:t xml:space="preserve">, </w:t>
      </w:r>
      <w:proofErr w:type="spellStart"/>
      <w:r>
        <w:t>Ванкњижна</w:t>
      </w:r>
      <w:proofErr w:type="spellEnd"/>
      <w:r>
        <w:t xml:space="preserve"> </w:t>
      </w:r>
      <w:proofErr w:type="spellStart"/>
      <w:r>
        <w:t>својина</w:t>
      </w:r>
      <w:proofErr w:type="spellEnd"/>
      <w:r>
        <w:t xml:space="preserve">: НЕ,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Својина</w:t>
      </w:r>
      <w:proofErr w:type="spellEnd"/>
      <w:r>
        <w:t xml:space="preserve">,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: </w:t>
      </w:r>
      <w:proofErr w:type="spellStart"/>
      <w:r>
        <w:t>Приватна</w:t>
      </w:r>
      <w:proofErr w:type="spellEnd"/>
      <w:r>
        <w:t xml:space="preserve">,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Цело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Удео</w:t>
      </w:r>
      <w:proofErr w:type="spellEnd"/>
      <w:r>
        <w:t>: 1/1</w:t>
      </w:r>
    </w:p>
    <w:p>
      <w:pPr>
        <w:pStyle w:val="nabrajanje"/>
        <w:ind w:left="0"/>
      </w:pPr>
    </w:p>
    <w:p>
      <w:pPr>
        <w:pStyle w:val="nabrajanje"/>
        <w:numPr>
          <w:ilvl w:val="0"/>
          <w:numId w:val="11"/>
        </w:numPr>
      </w:pPr>
      <w:r>
        <w:t xml:space="preserve"> </w:t>
      </w:r>
      <w:proofErr w:type="spellStart"/>
      <w:r>
        <w:rPr>
          <w:b/>
        </w:rPr>
        <w:t>Парцела</w:t>
      </w:r>
      <w:proofErr w:type="spellEnd"/>
      <w:r>
        <w:rPr>
          <w:b/>
          <w:lang w:val="sr-Cyrl-RS"/>
        </w:rPr>
        <w:t xml:space="preserve"> број 858</w:t>
      </w:r>
      <w:r>
        <w:rPr>
          <w:b/>
        </w:rPr>
        <w:t>,</w:t>
      </w:r>
      <w:r>
        <w:t xml:space="preserve"> </w:t>
      </w:r>
      <w:proofErr w:type="spellStart"/>
      <w:r>
        <w:t>Адреса</w:t>
      </w:r>
      <w:proofErr w:type="spellEnd"/>
      <w:r>
        <w:t xml:space="preserve">: МИЛЕНКА СИМИЋА, </w:t>
      </w:r>
      <w:proofErr w:type="spellStart"/>
      <w:r>
        <w:t>Општина</w:t>
      </w:r>
      <w:proofErr w:type="spellEnd"/>
      <w:r>
        <w:t xml:space="preserve">: </w:t>
      </w:r>
      <w:proofErr w:type="spellStart"/>
      <w:r>
        <w:t>Житиште</w:t>
      </w:r>
      <w:proofErr w:type="spellEnd"/>
      <w:r>
        <w:t xml:space="preserve">, КО: </w:t>
      </w:r>
      <w:proofErr w:type="spellStart"/>
      <w:r>
        <w:t>Равни</w:t>
      </w:r>
      <w:proofErr w:type="spellEnd"/>
      <w:r>
        <w:t xml:space="preserve"> </w:t>
      </w:r>
      <w:proofErr w:type="spellStart"/>
      <w:r>
        <w:t>Тополовац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: 1059,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858,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1147,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1,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233, </w:t>
      </w:r>
      <w:proofErr w:type="spellStart"/>
      <w:r>
        <w:t>Култура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зградом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објектом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2,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500, </w:t>
      </w:r>
      <w:proofErr w:type="spellStart"/>
      <w:r>
        <w:t>Култура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зграду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3,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414, </w:t>
      </w:r>
      <w:proofErr w:type="spellStart"/>
      <w:r>
        <w:t>Култура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</w:t>
      </w:r>
      <w:proofErr w:type="spellStart"/>
      <w:r>
        <w:t>Њива</w:t>
      </w:r>
      <w:proofErr w:type="spellEnd"/>
      <w:r>
        <w:t xml:space="preserve"> 1. </w:t>
      </w:r>
      <w:proofErr w:type="spellStart"/>
      <w:r>
        <w:t>класе</w:t>
      </w:r>
      <w:proofErr w:type="spellEnd"/>
      <w:r>
        <w:t xml:space="preserve">, </w:t>
      </w:r>
      <w:proofErr w:type="spellStart"/>
      <w:r>
        <w:t>Ванкњижна</w:t>
      </w:r>
      <w:proofErr w:type="spellEnd"/>
      <w:r>
        <w:t xml:space="preserve"> </w:t>
      </w:r>
      <w:proofErr w:type="spellStart"/>
      <w:r>
        <w:t>својина</w:t>
      </w:r>
      <w:proofErr w:type="spellEnd"/>
      <w:r>
        <w:t xml:space="preserve">: НЕ,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Својина</w:t>
      </w:r>
      <w:proofErr w:type="spellEnd"/>
      <w:r>
        <w:t xml:space="preserve">,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: </w:t>
      </w:r>
      <w:proofErr w:type="spellStart"/>
      <w:r>
        <w:t>Приватна</w:t>
      </w:r>
      <w:proofErr w:type="spellEnd"/>
      <w:r>
        <w:t xml:space="preserve">,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Цело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Удео</w:t>
      </w:r>
      <w:proofErr w:type="spellEnd"/>
      <w:r>
        <w:t>: 1/1</w:t>
      </w:r>
    </w:p>
    <w:p>
      <w:pPr>
        <w:pStyle w:val="ListParagraph"/>
      </w:pPr>
    </w:p>
    <w:p>
      <w:pPr>
        <w:pStyle w:val="nabrajanje"/>
      </w:pPr>
    </w:p>
    <w:p>
      <w:pPr>
        <w:pStyle w:val="nabrajanje"/>
        <w:numPr>
          <w:ilvl w:val="0"/>
          <w:numId w:val="11"/>
        </w:numPr>
      </w:pPr>
      <w:proofErr w:type="spellStart"/>
      <w:r>
        <w:rPr>
          <w:b/>
        </w:rPr>
        <w:t>Породична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стамбена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зграда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: МИЛЕНКА СИМИЋА, </w:t>
      </w:r>
      <w:proofErr w:type="spellStart"/>
      <w:r>
        <w:t>Општина</w:t>
      </w:r>
      <w:proofErr w:type="spellEnd"/>
      <w:r>
        <w:t xml:space="preserve">: </w:t>
      </w:r>
      <w:proofErr w:type="spellStart"/>
      <w:r>
        <w:t>Житиште</w:t>
      </w:r>
      <w:proofErr w:type="spellEnd"/>
      <w:r>
        <w:t xml:space="preserve">, КО: </w:t>
      </w:r>
      <w:proofErr w:type="spellStart"/>
      <w:r>
        <w:t>Равни</w:t>
      </w:r>
      <w:proofErr w:type="spellEnd"/>
      <w:r>
        <w:t xml:space="preserve"> </w:t>
      </w:r>
      <w:proofErr w:type="spellStart"/>
      <w:r>
        <w:t>Тополовац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: 1059, </w:t>
      </w:r>
      <w:proofErr w:type="spellStart"/>
      <w:r>
        <w:rPr>
          <w:u w:val="single"/>
        </w:rPr>
        <w:t>Број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парцеле</w:t>
      </w:r>
      <w:proofErr w:type="spellEnd"/>
      <w:r>
        <w:rPr>
          <w:u w:val="single"/>
        </w:rPr>
        <w:t>: 858</w:t>
      </w:r>
      <w:r>
        <w:t xml:space="preserve">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1147,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1,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233, </w:t>
      </w:r>
      <w:proofErr w:type="spellStart"/>
      <w:r>
        <w:t>Култура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зградом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објектом</w:t>
      </w:r>
      <w:proofErr w:type="spellEnd"/>
      <w:r>
        <w:t xml:space="preserve">,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: </w:t>
      </w:r>
      <w:proofErr w:type="spellStart"/>
      <w:r>
        <w:t>Земљиште</w:t>
      </w:r>
      <w:proofErr w:type="spellEnd"/>
      <w:r>
        <w:t xml:space="preserve"> у </w:t>
      </w:r>
      <w:proofErr w:type="spellStart"/>
      <w:r>
        <w:t>грађевинском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(м2): 233, </w:t>
      </w:r>
    </w:p>
    <w:p>
      <w:pPr>
        <w:pStyle w:val="nabrajanje"/>
        <w:ind w:left="720"/>
      </w:pPr>
    </w:p>
    <w:p>
      <w:pPr>
        <w:pStyle w:val="nabrajanje"/>
        <w:ind w:left="520"/>
      </w:pPr>
      <w:proofErr w:type="spellStart"/>
      <w:r>
        <w:lastRenderedPageBreak/>
        <w:t>Начин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: </w:t>
      </w:r>
      <w:proofErr w:type="spellStart"/>
      <w:r>
        <w:t>Породична</w:t>
      </w:r>
      <w:proofErr w:type="spellEnd"/>
      <w:r>
        <w:t xml:space="preserve"> </w:t>
      </w:r>
      <w:proofErr w:type="spellStart"/>
      <w:r>
        <w:t>стамбена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 xml:space="preserve">,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: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преузет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земљишне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, </w:t>
      </w:r>
      <w:proofErr w:type="spellStart"/>
      <w:r>
        <w:t>Ванкњижна</w:t>
      </w:r>
      <w:proofErr w:type="spellEnd"/>
      <w:r>
        <w:t xml:space="preserve"> </w:t>
      </w:r>
      <w:proofErr w:type="spellStart"/>
      <w:r>
        <w:t>својина</w:t>
      </w:r>
      <w:proofErr w:type="spellEnd"/>
      <w:r>
        <w:t xml:space="preserve">: НЕ,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Својина</w:t>
      </w:r>
      <w:proofErr w:type="spellEnd"/>
      <w:r>
        <w:t xml:space="preserve">,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: </w:t>
      </w:r>
      <w:proofErr w:type="spellStart"/>
      <w:r>
        <w:t>Приватна</w:t>
      </w:r>
      <w:proofErr w:type="spellEnd"/>
      <w:r>
        <w:t xml:space="preserve">,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Цело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Удео</w:t>
      </w:r>
      <w:proofErr w:type="spellEnd"/>
      <w:r>
        <w:t>: 1/1</w:t>
      </w:r>
      <w:r>
        <w:rPr>
          <w:lang w:val="sr-Cyrl-RS"/>
        </w:rPr>
        <w:t xml:space="preserve">- </w:t>
      </w:r>
      <w:r>
        <w:rPr>
          <w:b/>
          <w:lang w:val="sr-Cyrl-RS"/>
        </w:rPr>
        <w:t>не постоји у природи</w:t>
      </w:r>
      <w:r>
        <w:rPr>
          <w:lang w:val="sr-Cyrl-RS"/>
        </w:rPr>
        <w:t xml:space="preserve"> </w:t>
      </w:r>
    </w:p>
    <w:p/>
    <w:p>
      <w:pPr>
        <w:pStyle w:val="pStyle"/>
      </w:pPr>
      <w:r>
        <w:rPr>
          <w:b/>
        </w:rPr>
        <w:t xml:space="preserve">II </w:t>
      </w:r>
      <w:proofErr w:type="spellStart"/>
      <w:r>
        <w:t>Стални</w:t>
      </w:r>
      <w:proofErr w:type="spellEnd"/>
      <w:r>
        <w:t xml:space="preserve"> </w:t>
      </w:r>
      <w:proofErr w:type="spellStart"/>
      <w:r>
        <w:t>судски</w:t>
      </w:r>
      <w:proofErr w:type="spellEnd"/>
      <w:r>
        <w:t xml:space="preserve"> </w:t>
      </w:r>
      <w:proofErr w:type="spellStart"/>
      <w:proofErr w:type="gramStart"/>
      <w:r>
        <w:t>вештак</w:t>
      </w:r>
      <w:proofErr w:type="spellEnd"/>
      <w:r>
        <w:t xml:space="preserve"> </w:t>
      </w:r>
      <w:r>
        <w:rPr>
          <w:lang w:val="sr-Cyrl-RS"/>
        </w:rPr>
        <w:t xml:space="preserve"> Стеван</w:t>
      </w:r>
      <w:proofErr w:type="gramEnd"/>
      <w:r>
        <w:rPr>
          <w:lang w:val="sr-Cyrl-RS"/>
        </w:rPr>
        <w:t xml:space="preserve"> Греговић</w:t>
      </w:r>
      <w:r>
        <w:t xml:space="preserve">, </w:t>
      </w:r>
      <w:proofErr w:type="spellStart"/>
      <w:r>
        <w:t>констатовао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 у </w:t>
      </w:r>
      <w:proofErr w:type="spellStart"/>
      <w:r>
        <w:t>предметној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r>
        <w:rPr>
          <w:lang w:val="sr-Cyrl-RS"/>
        </w:rPr>
        <w:t xml:space="preserve">није </w:t>
      </w:r>
      <w:proofErr w:type="spellStart"/>
      <w:r>
        <w:t>затекао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>
      <w:pPr>
        <w:pStyle w:val="nonindented"/>
      </w:pPr>
      <w:r>
        <w:rPr>
          <w:b/>
          <w:bCs/>
        </w:rPr>
        <w:t>III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у </w:t>
      </w:r>
      <w:proofErr w:type="spellStart"/>
      <w:r>
        <w:t>катастру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proofErr w:type="gramStart"/>
      <w:r>
        <w:t>продаје</w:t>
      </w:r>
      <w:proofErr w:type="spellEnd"/>
      <w:r>
        <w:t xml:space="preserve">  </w:t>
      </w:r>
      <w:proofErr w:type="spellStart"/>
      <w:r>
        <w:t>утврђено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терети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престају</w:t>
      </w:r>
      <w:proofErr w:type="spellEnd"/>
      <w:r>
        <w:t xml:space="preserve"> </w:t>
      </w:r>
      <w:proofErr w:type="spellStart"/>
      <w:r>
        <w:t>доношењем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предаји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купцу</w:t>
      </w:r>
      <w:proofErr w:type="spellEnd"/>
      <w:r>
        <w:t xml:space="preserve">, а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>
      <w:pPr>
        <w:pStyle w:val="nonindented"/>
        <w:rPr>
          <w:lang w:val="sr-Cyrl-RS"/>
        </w:rPr>
      </w:pPr>
      <w:proofErr w:type="gramStart"/>
      <w:r>
        <w:rPr>
          <w:b/>
          <w:bCs/>
        </w:rPr>
        <w:t>IV</w:t>
      </w:r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 у </w:t>
      </w:r>
      <w:proofErr w:type="spellStart"/>
      <w:r>
        <w:t>списима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катастру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њене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стварне</w:t>
      </w:r>
      <w:proofErr w:type="spellEnd"/>
      <w:r>
        <w:t xml:space="preserve"> </w:t>
      </w:r>
      <w:proofErr w:type="spellStart"/>
      <w:r>
        <w:t>стварне</w:t>
      </w:r>
      <w:proofErr w:type="spellEnd"/>
      <w:r>
        <w:t xml:space="preserve"> и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службености</w:t>
      </w:r>
      <w:proofErr w:type="spellEnd"/>
      <w:r>
        <w:t xml:space="preserve"> и </w:t>
      </w:r>
      <w:proofErr w:type="spellStart"/>
      <w:r>
        <w:t>стварни</w:t>
      </w:r>
      <w:proofErr w:type="spellEnd"/>
      <w:r>
        <w:t xml:space="preserve"> </w:t>
      </w:r>
      <w:proofErr w:type="spellStart"/>
      <w:r>
        <w:t>терети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>.</w:t>
      </w:r>
      <w:proofErr w:type="gramEnd"/>
    </w:p>
    <w:p>
      <w:pPr>
        <w:spacing w:before="50" w:after="50"/>
        <w:jc w:val="both"/>
        <w:rPr>
          <w:rFonts w:eastAsia="Times New Roman"/>
          <w:color w:val="auto"/>
          <w:lang w:val="sr-Cyrl-RS"/>
        </w:rPr>
      </w:pPr>
      <w:proofErr w:type="gramStart"/>
      <w:r>
        <w:rPr>
          <w:rFonts w:eastAsia="Times New Roman"/>
          <w:b/>
          <w:color w:val="auto"/>
        </w:rPr>
        <w:t xml:space="preserve">V </w:t>
      </w:r>
      <w:r>
        <w:rPr>
          <w:rFonts w:eastAsia="Times New Roman"/>
          <w:color w:val="auto"/>
        </w:rPr>
        <w:t xml:space="preserve">ПРОЦЕЊЕНА ВРЕДНОСТ </w:t>
      </w:r>
      <w:proofErr w:type="spellStart"/>
      <w:r>
        <w:rPr>
          <w:rFonts w:eastAsia="Times New Roman"/>
          <w:color w:val="auto"/>
        </w:rPr>
        <w:t>непокретности</w:t>
      </w:r>
      <w:proofErr w:type="spellEnd"/>
      <w:r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на</w:t>
      </w:r>
      <w:proofErr w:type="spellEnd"/>
      <w:r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дан</w:t>
      </w:r>
      <w:proofErr w:type="spellEnd"/>
      <w:r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процене</w:t>
      </w:r>
      <w:proofErr w:type="spellEnd"/>
      <w:r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  <w:lang w:val="sr-Cyrl-RS"/>
        </w:rPr>
        <w:t>31.08.2025.</w:t>
      </w:r>
      <w:proofErr w:type="gramEnd"/>
      <w:r>
        <w:rPr>
          <w:rFonts w:eastAsia="Times New Roman"/>
          <w:color w:val="auto"/>
        </w:rPr>
        <w:t xml:space="preserve"> </w:t>
      </w:r>
      <w:proofErr w:type="spellStart"/>
      <w:proofErr w:type="gramStart"/>
      <w:r>
        <w:rPr>
          <w:rFonts w:eastAsia="Times New Roman"/>
          <w:color w:val="auto"/>
        </w:rPr>
        <w:t>године</w:t>
      </w:r>
      <w:proofErr w:type="spellEnd"/>
      <w:proofErr w:type="gramEnd"/>
      <w:r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износи</w:t>
      </w:r>
      <w:proofErr w:type="spellEnd"/>
      <w:r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  <w:lang w:val="sr-Cyrl-RS"/>
        </w:rPr>
        <w:t>1.400.000,00</w:t>
      </w:r>
      <w:r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динара</w:t>
      </w:r>
      <w:proofErr w:type="spellEnd"/>
      <w:r>
        <w:rPr>
          <w:rFonts w:eastAsia="Times New Roman"/>
          <w:color w:val="auto"/>
          <w:lang w:val="sr-Cyrl-RS"/>
        </w:rPr>
        <w:t>.</w:t>
      </w:r>
    </w:p>
    <w:p>
      <w:pPr>
        <w:spacing w:before="50" w:after="50"/>
        <w:jc w:val="both"/>
        <w:rPr>
          <w:rFonts w:eastAsia="Times New Roman"/>
          <w:color w:val="auto"/>
          <w:lang w:val="sr-Cyrl-RS"/>
        </w:rPr>
      </w:pPr>
    </w:p>
    <w:p>
      <w:pPr>
        <w:pStyle w:val="nonindented"/>
        <w:rPr>
          <w:lang w:val="sr-Cyrl-RS"/>
        </w:rPr>
      </w:pPr>
      <w:proofErr w:type="gramStart"/>
      <w:r>
        <w:rPr>
          <w:b/>
          <w:bCs/>
        </w:rPr>
        <w:t>VI</w:t>
      </w:r>
      <w:r>
        <w:t xml:space="preserve"> ПОЧЕТНУ ЦЕНУ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r>
        <w:rPr>
          <w:b/>
          <w:bCs/>
        </w:rPr>
        <w:t>50%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r>
        <w:rPr>
          <w:b/>
          <w:bCs/>
          <w:lang w:val="sr-Cyrl-RS"/>
        </w:rPr>
        <w:t xml:space="preserve">700.000,00 </w:t>
      </w:r>
      <w:r>
        <w:rPr>
          <w:b/>
          <w:bCs/>
        </w:rPr>
        <w:t>РСД</w:t>
      </w:r>
      <w:r>
        <w:t>.</w:t>
      </w:r>
      <w:proofErr w:type="gramEnd"/>
    </w:p>
    <w:p>
      <w:pPr>
        <w:pStyle w:val="nonindented"/>
      </w:pPr>
      <w:r>
        <w:rPr>
          <w:b/>
          <w:bCs/>
        </w:rPr>
        <w:t>VII</w:t>
      </w:r>
      <w:r>
        <w:t xml:space="preserve"> ЕЛЕКТРОНСКО ЈАВНО НАДМЕТАЊЕ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</w:t>
      </w:r>
      <w:r>
        <w:rPr>
          <w:lang w:val="sr-Cyrl-RS"/>
        </w:rPr>
        <w:t xml:space="preserve"> </w:t>
      </w:r>
      <w:r>
        <w:rPr>
          <w:b/>
          <w:lang w:val="sr-Cyrl-RS"/>
        </w:rPr>
        <w:t>13.02.2026</w:t>
      </w:r>
      <w:proofErr w:type="gramEnd"/>
      <w:r>
        <w:rPr>
          <w:b/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 </w:t>
      </w:r>
      <w:proofErr w:type="spellStart"/>
      <w:r>
        <w:t>до</w:t>
      </w:r>
      <w:proofErr w:type="spellEnd"/>
      <w:r>
        <w:t xml:space="preserve"> 13 </w:t>
      </w:r>
      <w:proofErr w:type="spellStart"/>
      <w:r>
        <w:t>часова</w:t>
      </w:r>
      <w:proofErr w:type="spellEnd"/>
      <w:r>
        <w:t xml:space="preserve">. </w:t>
      </w:r>
      <w:proofErr w:type="spellStart"/>
      <w:proofErr w:type="gram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10 %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  <w:proofErr w:type="gramEnd"/>
    </w:p>
    <w:p>
      <w:pPr>
        <w:pStyle w:val="nonindented"/>
      </w:pPr>
      <w:proofErr w:type="spellStart"/>
      <w:proofErr w:type="gram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 </w:t>
      </w:r>
      <w:proofErr w:type="spellStart"/>
      <w:r>
        <w:t>до</w:t>
      </w:r>
      <w:proofErr w:type="spellEnd"/>
      <w:r>
        <w:t xml:space="preserve"> 13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намдетања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  <w:proofErr w:type="gramEnd"/>
      <w:r>
        <w:t xml:space="preserve"> </w:t>
      </w:r>
    </w:p>
    <w:p>
      <w:pPr>
        <w:pStyle w:val="nonindented"/>
      </w:pPr>
      <w:r>
        <w:rPr>
          <w:b/>
          <w:bCs/>
        </w:rPr>
        <w:t>VIII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(eaukcija.sud.rs),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>
      <w:pPr>
        <w:pStyle w:val="nonindented"/>
      </w:pPr>
      <w:proofErr w:type="spellStart"/>
      <w:proofErr w:type="gramStart"/>
      <w:r>
        <w:t>Понудиоцима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  <w:proofErr w:type="gram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и </w:t>
      </w:r>
      <w:proofErr w:type="spellStart"/>
      <w:r>
        <w:t>заложни</w:t>
      </w:r>
      <w:proofErr w:type="spellEnd"/>
      <w:r>
        <w:t xml:space="preserve"> </w:t>
      </w:r>
      <w:proofErr w:type="spellStart"/>
      <w:r>
        <w:t>повериоци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досежу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, </w:t>
      </w:r>
      <w:proofErr w:type="gramStart"/>
      <w:r>
        <w:t xml:space="preserve">а  </w:t>
      </w:r>
      <w:proofErr w:type="spellStart"/>
      <w:r>
        <w:t>имаоци</w:t>
      </w:r>
      <w:proofErr w:type="spellEnd"/>
      <w:proofErr w:type="gram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. </w:t>
      </w:r>
    </w:p>
    <w:p>
      <w:pPr>
        <w:pStyle w:val="nonindented"/>
      </w:pPr>
      <w:proofErr w:type="spellStart"/>
      <w:proofErr w:type="gram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губи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учесник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понуди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почетну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цену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као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учесник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одустане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надметања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У </w:t>
      </w:r>
      <w:proofErr w:type="spellStart"/>
      <w:r>
        <w:rPr>
          <w:b/>
          <w:bCs/>
        </w:rPr>
        <w:t>том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случају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поступиће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прописан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чланом</w:t>
      </w:r>
      <w:proofErr w:type="spellEnd"/>
      <w:r>
        <w:rPr>
          <w:b/>
          <w:bCs/>
        </w:rPr>
        <w:t xml:space="preserve"> 182.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став</w:t>
      </w:r>
      <w:proofErr w:type="spellEnd"/>
      <w:proofErr w:type="gramEnd"/>
      <w:r>
        <w:rPr>
          <w:b/>
          <w:bCs/>
        </w:rPr>
        <w:t xml:space="preserve"> 2. </w:t>
      </w:r>
      <w:proofErr w:type="gramStart"/>
      <w:r>
        <w:rPr>
          <w:b/>
          <w:bCs/>
        </w:rPr>
        <w:t>и</w:t>
      </w:r>
      <w:proofErr w:type="gramEnd"/>
      <w:r>
        <w:rPr>
          <w:b/>
          <w:bCs/>
        </w:rPr>
        <w:t xml:space="preserve"> 3. </w:t>
      </w:r>
      <w:proofErr w:type="spellStart"/>
      <w:proofErr w:type="gramStart"/>
      <w:r>
        <w:rPr>
          <w:b/>
          <w:bCs/>
        </w:rPr>
        <w:t>Закона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извршењу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обезбеђењу</w:t>
      </w:r>
      <w:proofErr w:type="spellEnd"/>
      <w:r>
        <w:rPr>
          <w:b/>
          <w:bCs/>
        </w:rPr>
        <w:t>.</w:t>
      </w:r>
      <w:proofErr w:type="gramEnd"/>
    </w:p>
    <w:p>
      <w:pPr>
        <w:pStyle w:val="nonindented"/>
      </w:pPr>
      <w:proofErr w:type="gramStart"/>
      <w:r>
        <w:rPr>
          <w:b/>
          <w:bCs/>
        </w:rPr>
        <w:t>IX</w:t>
      </w:r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  <w:proofErr w:type="gram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proofErr w:type="gramStart"/>
      <w:r>
        <w:t>року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дејста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Исто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ималац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изјавио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>.</w:t>
      </w:r>
      <w:proofErr w:type="gramEnd"/>
      <w:r>
        <w:t xml:space="preserve"> </w:t>
      </w:r>
    </w:p>
    <w:p>
      <w:pPr>
        <w:pStyle w:val="nonindented"/>
      </w:pPr>
      <w:r>
        <w:rPr>
          <w:b/>
          <w:bCs/>
        </w:rPr>
        <w:t>X</w:t>
      </w:r>
      <w:r>
        <w:t xml:space="preserve"> </w:t>
      </w:r>
      <w:proofErr w:type="spellStart"/>
      <w:r>
        <w:t>Споразум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 </w:t>
      </w:r>
      <w:proofErr w:type="spellStart"/>
      <w:r>
        <w:t>могућ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 xml:space="preserve">. </w:t>
      </w:r>
      <w:proofErr w:type="spellStart"/>
      <w:proofErr w:type="gramStart"/>
      <w:r>
        <w:t>Споразум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прода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–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продата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После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опет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Споразумом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погодбоми</w:t>
      </w:r>
      <w:proofErr w:type="spellEnd"/>
      <w:r>
        <w:t xml:space="preserve"> </w:t>
      </w:r>
      <w:proofErr w:type="spellStart"/>
      <w:r>
        <w:t>продајна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, а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>.</w:t>
      </w:r>
      <w:proofErr w:type="gramEnd"/>
    </w:p>
    <w:p>
      <w:pPr>
        <w:pStyle w:val="nonindented"/>
      </w:pPr>
      <w:r>
        <w:rPr>
          <w:b/>
          <w:bCs/>
        </w:rPr>
        <w:lastRenderedPageBreak/>
        <w:t>XI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храњеник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.</w:t>
      </w:r>
    </w:p>
    <w:p>
      <w:pPr>
        <w:pStyle w:val="nonindented"/>
      </w:pPr>
      <w:proofErr w:type="gramStart"/>
      <w:r>
        <w:rPr>
          <w:b/>
          <w:bCs/>
        </w:rPr>
        <w:t>XII</w:t>
      </w:r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припадајућег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и </w:t>
      </w:r>
      <w:proofErr w:type="spellStart"/>
      <w:r>
        <w:t>такси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пренос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важећим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>.</w:t>
      </w:r>
      <w:proofErr w:type="gramEnd"/>
    </w:p>
    <w:p>
      <w:pPr>
        <w:pStyle w:val="nonindented"/>
      </w:pPr>
      <w:proofErr w:type="gramStart"/>
      <w:r>
        <w:rPr>
          <w:b/>
          <w:bCs/>
        </w:rPr>
        <w:t>XIII</w:t>
      </w:r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разгледати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петка</w:t>
      </w:r>
      <w:proofErr w:type="spellEnd"/>
      <w:r>
        <w:t xml:space="preserve"> у 12.00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омогућити</w:t>
      </w:r>
      <w:proofErr w:type="spellEnd"/>
      <w:r>
        <w:t>.</w:t>
      </w:r>
      <w:proofErr w:type="gramEnd"/>
    </w:p>
    <w:p>
      <w:pPr>
        <w:pStyle w:val="nonindented"/>
      </w:pPr>
      <w:proofErr w:type="gramStart"/>
      <w:r>
        <w:rPr>
          <w:b/>
          <w:bCs/>
        </w:rPr>
        <w:t>XIV</w:t>
      </w:r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и </w:t>
      </w:r>
      <w:proofErr w:type="spellStart"/>
      <w:r>
        <w:t>могу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  <w:proofErr w:type="gramEnd"/>
    </w:p>
    <w:p/>
    <w:tbl>
      <w:tblPr>
        <w:tblStyle w:val="61dde81b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417"/>
        <w:gridCol w:w="3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3401" w:type="dxa"/>
            <w:noWrap/>
          </w:tcPr>
          <w:p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лек</w:t>
            </w:r>
            <w:proofErr w:type="spellEnd"/>
            <w:r>
              <w:t>.</w:t>
            </w:r>
          </w:p>
        </w:tc>
        <w:tc>
          <w:tcPr>
            <w:tcW w:w="3401" w:type="dxa"/>
            <w:noWrap/>
          </w:tcPr>
          <w:p>
            <w:pPr>
              <w:pStyle w:val="centeraligned"/>
            </w:pPr>
          </w:p>
        </w:tc>
        <w:tc>
          <w:tcPr>
            <w:tcW w:w="3401" w:type="dxa"/>
            <w:noWrap/>
          </w:tcPr>
          <w:p>
            <w:pPr>
              <w:pStyle w:val="centeraligned"/>
            </w:pPr>
            <w:r>
              <w:rPr>
                <w:b/>
                <w:bCs/>
              </w:rPr>
              <w:t>ЈАВНИ ИЗВРШИТЕЉ</w:t>
            </w:r>
          </w:p>
          <w:p>
            <w:pPr>
              <w:pStyle w:val="centeraligned"/>
            </w:pPr>
          </w:p>
          <w:p>
            <w:pPr>
              <w:pStyle w:val="centeraligned"/>
            </w:pPr>
            <w:r>
              <w:t>__________________________</w:t>
            </w:r>
          </w:p>
          <w:p>
            <w:pPr>
              <w:pStyle w:val="centeraligned"/>
            </w:pPr>
            <w:proofErr w:type="spellStart"/>
            <w:r>
              <w:t>Николина</w:t>
            </w:r>
            <w:proofErr w:type="spellEnd"/>
            <w:r>
              <w:t xml:space="preserve"> </w:t>
            </w:r>
            <w:proofErr w:type="spellStart"/>
            <w:r>
              <w:t>Шендер</w:t>
            </w:r>
            <w:proofErr w:type="spellEnd"/>
          </w:p>
        </w:tc>
      </w:tr>
    </w:tbl>
    <w:p>
      <w:pPr>
        <w:sectPr>
          <w:pgSz w:w="11905" w:h="16837"/>
          <w:pgMar w:top="600" w:right="799" w:bottom="799" w:left="799" w:header="720" w:footer="720" w:gutter="0"/>
          <w:cols w:space="720"/>
        </w:sectPr>
      </w:pPr>
    </w:p>
    <w:p>
      <w:pPr>
        <w:pStyle w:val="nonindented"/>
      </w:pPr>
      <w:bookmarkStart w:id="1" w:name="_GoBack"/>
      <w:bookmarkEnd w:id="1"/>
    </w:p>
    <w:sectPr>
      <w:pgSz w:w="11905" w:h="16837"/>
      <w:pgMar w:top="600" w:right="799" w:bottom="799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8CA88"/>
    <w:multiLevelType w:val="multilevel"/>
    <w:tmpl w:val="4072B08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7CC391E"/>
    <w:multiLevelType w:val="multilevel"/>
    <w:tmpl w:val="9968D17E"/>
    <w:lvl w:ilvl="0">
      <w:start w:val="1"/>
      <w:numFmt w:val="bullet"/>
      <w:lvlText w:val="-"/>
      <w:lvlJc w:val="left"/>
      <w:pPr>
        <w:tabs>
          <w:tab w:val="num" w:pos="720"/>
        </w:tabs>
        <w:ind w:left="720" w:hanging="20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90F13133"/>
    <w:multiLevelType w:val="multilevel"/>
    <w:tmpl w:val="279011BA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FE08B09"/>
    <w:multiLevelType w:val="multilevel"/>
    <w:tmpl w:val="ECC4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CE6EF92"/>
    <w:multiLevelType w:val="multilevel"/>
    <w:tmpl w:val="4F8C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0FBC7CC"/>
    <w:multiLevelType w:val="multilevel"/>
    <w:tmpl w:val="558E7FC0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7386F1E"/>
    <w:multiLevelType w:val="multilevel"/>
    <w:tmpl w:val="3EF0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3D62748"/>
    <w:multiLevelType w:val="multilevel"/>
    <w:tmpl w:val="6C985BF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67D065"/>
    <w:multiLevelType w:val="multilevel"/>
    <w:tmpl w:val="2376AFC0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A4486E"/>
    <w:multiLevelType w:val="multilevel"/>
    <w:tmpl w:val="7AC44E2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510F59"/>
    <w:multiLevelType w:val="multilevel"/>
    <w:tmpl w:val="0EAE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paragraph" w:customStyle="1" w:styleId="header2">
    <w:name w:val="header2"/>
    <w:basedOn w:val="Normal"/>
    <w:pPr>
      <w:ind w:right="4000"/>
    </w:pPr>
  </w:style>
  <w:style w:type="table" w:customStyle="1" w:styleId="4da1d306">
    <w:name w:val="4da1d30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dde81b">
    <w:name w:val="61dde81b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f8564ac8">
    <w:name w:val="f8564ac8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c8f45f">
    <w:name w:val="41c8f45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e0a940">
    <w:name w:val="43e0a94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3a6268">
    <w:name w:val="763a6268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0a4cdea0">
    <w:name w:val="0a4cdea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bd99c1">
    <w:name w:val="bbd99c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</w:pPr>
    <w:rPr>
      <w:rFonts w:eastAsia="Times New Roman"/>
      <w:color w:val="auto"/>
    </w:rPr>
  </w:style>
  <w:style w:type="paragraph" w:customStyle="1" w:styleId="pStyle">
    <w:name w:val="pStyle"/>
    <w:basedOn w:val="Normal"/>
    <w:pPr>
      <w:spacing w:before="50" w:after="50"/>
      <w:jc w:val="both"/>
    </w:pPr>
    <w:rPr>
      <w:rFonts w:eastAsia="Times New Roman"/>
      <w:color w:val="auto"/>
    </w:rPr>
  </w:style>
  <w:style w:type="paragraph" w:customStyle="1" w:styleId="nabrajanje">
    <w:name w:val="nabrajanje"/>
    <w:basedOn w:val="Normal"/>
    <w:pPr>
      <w:ind w:left="500"/>
      <w:jc w:val="both"/>
    </w:pPr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paragraph" w:customStyle="1" w:styleId="header2">
    <w:name w:val="header2"/>
    <w:basedOn w:val="Normal"/>
    <w:pPr>
      <w:ind w:right="4000"/>
    </w:pPr>
  </w:style>
  <w:style w:type="table" w:customStyle="1" w:styleId="4da1d306">
    <w:name w:val="4da1d30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dde81b">
    <w:name w:val="61dde81b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f8564ac8">
    <w:name w:val="f8564ac8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c8f45f">
    <w:name w:val="41c8f45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e0a940">
    <w:name w:val="43e0a94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3a6268">
    <w:name w:val="763a6268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0a4cdea0">
    <w:name w:val="0a4cdea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bd99c1">
    <w:name w:val="bbd99c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</w:pPr>
    <w:rPr>
      <w:rFonts w:eastAsia="Times New Roman"/>
      <w:color w:val="auto"/>
    </w:rPr>
  </w:style>
  <w:style w:type="paragraph" w:customStyle="1" w:styleId="pStyle">
    <w:name w:val="pStyle"/>
    <w:basedOn w:val="Normal"/>
    <w:pPr>
      <w:spacing w:before="50" w:after="50"/>
      <w:jc w:val="both"/>
    </w:pPr>
    <w:rPr>
      <w:rFonts w:eastAsia="Times New Roman"/>
      <w:color w:val="auto"/>
    </w:rPr>
  </w:style>
  <w:style w:type="paragraph" w:customStyle="1" w:styleId="nabrajanje">
    <w:name w:val="nabrajanje"/>
    <w:basedOn w:val="Normal"/>
    <w:pPr>
      <w:ind w:left="500"/>
      <w:jc w:val="both"/>
    </w:pPr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2026-01-13T14:01:00Z</cp:lastPrinted>
  <dcterms:created xsi:type="dcterms:W3CDTF">2026-01-13T14:01:00Z</dcterms:created>
  <dcterms:modified xsi:type="dcterms:W3CDTF">2026-01-13T14:04:00Z</dcterms:modified>
</cp:coreProperties>
</file>